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FF092" w14:textId="62329A66" w:rsidR="003979C7" w:rsidRDefault="003979C7" w:rsidP="003979C7">
      <w:pPr>
        <w:spacing w:before="100" w:beforeAutospacing="1" w:after="100" w:afterAutospacing="1"/>
        <w:rPr>
          <w:rFonts w:ascii="Apple Color Emoji" w:eastAsia="Times New Roman" w:hAnsi="Apple Color Emoji" w:cs="Apple Color Emoji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drawing>
          <wp:inline distT="0" distB="0" distL="0" distR="0" wp14:anchorId="7402BF38" wp14:editId="0F4842AD">
            <wp:extent cx="5400040" cy="93472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F0B24" w14:textId="1FFD1088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🟣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Capa – Artigo Comentado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ENDOctors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br/>
      </w:r>
      <w:r w:rsidRPr="003979C7">
        <w:rPr>
          <w:rFonts w:ascii="Apple Color Emoji" w:eastAsia="Times New Roman" w:hAnsi="Apple Color Emoji" w:cs="Apple Color Emoji"/>
          <w:lang w:eastAsia="pt-BR"/>
        </w:rPr>
        <w:t>🔬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ENDOctors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– The Meetings</w:t>
      </w:r>
      <w:r w:rsidRPr="003979C7">
        <w:rPr>
          <w:rFonts w:ascii="Times New Roman" w:eastAsia="Times New Roman" w:hAnsi="Times New Roman" w:cs="Times New Roman"/>
          <w:lang w:eastAsia="pt-BR"/>
        </w:rPr>
        <w:br/>
      </w:r>
      <w:r w:rsidRPr="003979C7">
        <w:rPr>
          <w:rFonts w:ascii="Apple Color Emoji" w:eastAsia="Times New Roman" w:hAnsi="Apple Color Emoji" w:cs="Apple Color Emoji"/>
          <w:lang w:eastAsia="pt-BR"/>
        </w:rPr>
        <w:t>📚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Artigo Científico Comentado</w:t>
      </w:r>
    </w:p>
    <w:p w14:paraId="722B0BA3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📝</w:t>
      </w:r>
      <w:r w:rsidRPr="003979C7">
        <w:rPr>
          <w:rFonts w:ascii="Times New Roman" w:eastAsia="Times New Roman" w:hAnsi="Times New Roman" w:cs="Times New Roman"/>
          <w:lang w:val="en-US"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val="en-US" w:eastAsia="pt-BR"/>
        </w:rPr>
        <w:t>Título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val="en-US" w:eastAsia="pt-BR"/>
        </w:rPr>
        <w:t xml:space="preserve"> do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val="en-US" w:eastAsia="pt-BR"/>
        </w:rPr>
        <w:t>artigo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val="en-US" w:eastAsia="pt-BR"/>
        </w:rPr>
        <w:t>:</w:t>
      </w:r>
      <w:r w:rsidRPr="003979C7">
        <w:rPr>
          <w:rFonts w:ascii="Times New Roman" w:eastAsia="Times New Roman" w:hAnsi="Times New Roman" w:cs="Times New Roman"/>
          <w:lang w:val="en-US" w:eastAsia="pt-BR"/>
        </w:rPr>
        <w:br/>
      </w:r>
      <w:r w:rsidRPr="003979C7">
        <w:rPr>
          <w:rFonts w:ascii="Times New Roman" w:eastAsia="Times New Roman" w:hAnsi="Times New Roman" w:cs="Times New Roman"/>
          <w:i/>
          <w:iCs/>
          <w:lang w:val="en-US" w:eastAsia="pt-BR"/>
        </w:rPr>
        <w:t>Endometriosis: new insights and opportunities for relief of symptoms</w:t>
      </w:r>
    </w:p>
    <w:p w14:paraId="786A68D1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👤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Autores e referência:</w:t>
      </w:r>
      <w:r w:rsidRPr="003979C7">
        <w:rPr>
          <w:rFonts w:ascii="Times New Roman" w:eastAsia="Times New Roman" w:hAnsi="Times New Roman" w:cs="Times New Roman"/>
          <w:lang w:eastAsia="pt-BR"/>
        </w:rPr>
        <w:br/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Philippa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T.K.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Saunders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e Andrew W.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Horne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br/>
      </w:r>
      <w:r w:rsidRPr="003979C7">
        <w:rPr>
          <w:rFonts w:ascii="Apple Color Emoji" w:eastAsia="Times New Roman" w:hAnsi="Apple Color Emoji" w:cs="Apple Color Emoji"/>
          <w:lang w:eastAsia="pt-BR"/>
        </w:rPr>
        <w:t>📅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Ano: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2025</w:t>
      </w:r>
      <w:r w:rsidRPr="003979C7">
        <w:rPr>
          <w:rFonts w:ascii="Times New Roman" w:eastAsia="Times New Roman" w:hAnsi="Times New Roman" w:cs="Times New Roman"/>
          <w:lang w:eastAsia="pt-BR"/>
        </w:rPr>
        <w:br/>
      </w:r>
      <w:r w:rsidRPr="003979C7">
        <w:rPr>
          <w:rFonts w:ascii="Apple Color Emoji" w:eastAsia="Times New Roman" w:hAnsi="Apple Color Emoji" w:cs="Apple Color Emoji"/>
          <w:lang w:eastAsia="pt-BR"/>
        </w:rPr>
        <w:t>📌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DOI: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hyperlink r:id="rId6" w:tgtFrame="_new" w:history="1">
        <w:r w:rsidRPr="003979C7">
          <w:rPr>
            <w:rFonts w:ascii="Times New Roman" w:eastAsia="Times New Roman" w:hAnsi="Times New Roman" w:cs="Times New Roman"/>
            <w:color w:val="0000FF"/>
            <w:u w:val="single"/>
            <w:lang w:eastAsia="pt-BR"/>
          </w:rPr>
          <w:t>https://doi.org/10.1093/biolre/ioaf164</w:t>
        </w:r>
      </w:hyperlink>
    </w:p>
    <w:p w14:paraId="25441CD4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🧠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Tema clínico principal:</w:t>
      </w:r>
      <w:r w:rsidRPr="003979C7">
        <w:rPr>
          <w:rFonts w:ascii="Times New Roman" w:eastAsia="Times New Roman" w:hAnsi="Times New Roman" w:cs="Times New Roman"/>
          <w:lang w:eastAsia="pt-BR"/>
        </w:rPr>
        <w:br/>
        <w:t xml:space="preserve">Endometriose como uma desordem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neuroinflamatória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multissistêmica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, com foco em novas estratégias terapêuticas para alívio dos sintomas.</w:t>
      </w:r>
    </w:p>
    <w:p w14:paraId="4112B114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gramStart"/>
      <w:r w:rsidRPr="003979C7">
        <w:rPr>
          <w:rFonts w:ascii="Apple Color Emoji" w:eastAsia="Times New Roman" w:hAnsi="Apple Color Emoji" w:cs="Apple Color Emoji"/>
          <w:lang w:eastAsia="pt-BR"/>
        </w:rPr>
        <w:t>📍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Comentado</w:t>
      </w:r>
      <w:proofErr w:type="gram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por: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Dra. Graciela Morgado</w:t>
      </w:r>
      <w:r w:rsidRPr="003979C7">
        <w:rPr>
          <w:rFonts w:ascii="Times New Roman" w:eastAsia="Times New Roman" w:hAnsi="Times New Roman" w:cs="Times New Roman"/>
          <w:lang w:eastAsia="pt-BR"/>
        </w:rPr>
        <w:br/>
        <w:t>CRM/SP 122.379 | RQE 540631 | RQE 540632</w:t>
      </w:r>
    </w:p>
    <w:p w14:paraId="052031B9" w14:textId="77777777" w:rsidR="003979C7" w:rsidRPr="003979C7" w:rsidRDefault="00DD6773" w:rsidP="003979C7">
      <w:pPr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noProof/>
          <w:lang w:eastAsia="pt-BR"/>
        </w:rPr>
        <w:pict w14:anchorId="064B3BD3">
          <v:rect id="_x0000_i1026" alt="" style="width:425.2pt;height:.05pt;mso-width-percent:0;mso-height-percent:0;mso-width-percent:0;mso-height-percent:0" o:hralign="center" o:hrstd="t" o:hr="t" fillcolor="#a0a0a0" stroked="f"/>
        </w:pict>
      </w:r>
    </w:p>
    <w:p w14:paraId="3F20376F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🟣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Página 2 – Estrutura Interna do Artigo Comentado</w:t>
      </w:r>
    </w:p>
    <w:p w14:paraId="51FB8420" w14:textId="6F057A0B" w:rsidR="003979C7" w:rsidRDefault="003979C7" w:rsidP="003979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Resumo Científico Objetivo</w:t>
      </w:r>
      <w:r w:rsidRPr="003979C7">
        <w:rPr>
          <w:rFonts w:ascii="Times New Roman" w:eastAsia="Times New Roman" w:hAnsi="Times New Roman" w:cs="Times New Roman"/>
          <w:lang w:eastAsia="pt-BR"/>
        </w:rPr>
        <w:br/>
        <w:t xml:space="preserve">A endometriose é uma condição crônica com impacto negativo significativo na qualidade de vida e fertilidade de mais de 190 milhões de mulheres. O artigo revisa novas abordagens clínicas e terapêuticas baseadas em avanços genéticos, metabólicos e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neuroinflamatórios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</w:t>
      </w:r>
    </w:p>
    <w:p w14:paraId="4027EC0F" w14:textId="579A262C" w:rsidR="00833524" w:rsidRDefault="00833524" w:rsidP="0083352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833524">
        <w:rPr>
          <w:rFonts w:ascii="Times New Roman" w:eastAsia="Times New Roman" w:hAnsi="Times New Roman" w:cs="Times New Roman"/>
          <w:lang w:eastAsia="pt-BR"/>
        </w:rPr>
        <w:lastRenderedPageBreak/>
        <w:drawing>
          <wp:inline distT="0" distB="0" distL="0" distR="0" wp14:anchorId="4FB74E5C" wp14:editId="2160848C">
            <wp:extent cx="5400040" cy="32829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FE772" w14:textId="77777777" w:rsidR="003979C7" w:rsidRPr="003979C7" w:rsidRDefault="003979C7" w:rsidP="003979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2. Fisiopatologia Detalhada da Endometriose</w:t>
      </w:r>
    </w:p>
    <w:p w14:paraId="664EDA2D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 endometriose é descrita no artigo como uma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condição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neuroinflamatória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multissistêmica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 A fisiopatologia envolve diversos eventos locais e sistêmicos que ajudam a explicar a variabilidade dos sintomas, especialmente dor crônica e infertilidade.</w:t>
      </w:r>
    </w:p>
    <w:p w14:paraId="7A14E169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Principais eventos fisiopatológicos:</w:t>
      </w:r>
    </w:p>
    <w:p w14:paraId="0E187D06" w14:textId="77777777" w:rsidR="003979C7" w:rsidRPr="003979C7" w:rsidRDefault="003979C7" w:rsidP="003979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Lesões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endometrióticas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São compostas por células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estromais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e epiteliais semelhantes ao endométrio, além de células imunes, vasos e fibras nervosas. As lesões podem ser superficiais peritoneais (SPE), ovarianas (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endometriomas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/OE) ou profundas (DE), muitas vezes coexistindo em uma mesma paciente.</w:t>
      </w:r>
    </w:p>
    <w:p w14:paraId="5C80F6AA" w14:textId="77777777" w:rsidR="003979C7" w:rsidRPr="003979C7" w:rsidRDefault="003979C7" w:rsidP="003979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Inflamação local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: Há aumento de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citocinas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inflamatórias no líquido peritoneal como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IL-1β, TNF-α e PGE2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, resultando em ativação imunológica intensa. Isso leva à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recrutamento de macrófagos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e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neutrófilos</w:t>
      </w:r>
      <w:r w:rsidRPr="003979C7">
        <w:rPr>
          <w:rFonts w:ascii="Times New Roman" w:eastAsia="Times New Roman" w:hAnsi="Times New Roman" w:cs="Times New Roman"/>
          <w:lang w:eastAsia="pt-BR"/>
        </w:rPr>
        <w:t>, que favorecem a manutenção e progressão das lesões.</w:t>
      </w:r>
    </w:p>
    <w:p w14:paraId="5A83CD65" w14:textId="77777777" w:rsidR="003979C7" w:rsidRPr="003979C7" w:rsidRDefault="003979C7" w:rsidP="003979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Angiogênese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neuroangiogênese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As lesões formam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novos vasos sanguíneos e fibras nervosas periféricas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, um processo chamado de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neuroangiogênese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. Essa inervação promove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hiperalgesia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e ligação direta com centros nervosos, alimentando os mecanismos centrais de dor.</w:t>
      </w:r>
    </w:p>
    <w:p w14:paraId="0D6B7C47" w14:textId="77777777" w:rsidR="003979C7" w:rsidRPr="003979C7" w:rsidRDefault="003979C7" w:rsidP="003979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Dor crônica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: Envolve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mecanismos periféricos (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nociceptivos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e neuropáticos)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e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centrais (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nociplásticos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)</w:t>
      </w:r>
      <w:r w:rsidRPr="003979C7">
        <w:rPr>
          <w:rFonts w:ascii="Times New Roman" w:eastAsia="Times New Roman" w:hAnsi="Times New Roman" w:cs="Times New Roman"/>
          <w:lang w:eastAsia="pt-BR"/>
        </w:rPr>
        <w:t>. A dor é potencializada por:</w:t>
      </w:r>
    </w:p>
    <w:p w14:paraId="6F8B6870" w14:textId="77777777" w:rsidR="003979C7" w:rsidRPr="003979C7" w:rsidRDefault="003979C7" w:rsidP="003979C7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Hipersensibilidade do sistema nervoso central (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ex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insula, tálamo, córtex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somatossensorial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)</w:t>
      </w:r>
    </w:p>
    <w:p w14:paraId="523276D0" w14:textId="77777777" w:rsidR="003979C7" w:rsidRPr="003979C7" w:rsidRDefault="003979C7" w:rsidP="003979C7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Sensibilização periférica</w:t>
      </w:r>
    </w:p>
    <w:p w14:paraId="7504F994" w14:textId="77777777" w:rsidR="003979C7" w:rsidRPr="003979C7" w:rsidRDefault="003979C7" w:rsidP="003979C7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Lesões de nervos durante intervenções cirúrgicas</w:t>
      </w:r>
    </w:p>
    <w:p w14:paraId="5AE791CF" w14:textId="77777777" w:rsidR="003979C7" w:rsidRPr="003979C7" w:rsidRDefault="003979C7" w:rsidP="003979C7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Ativação de vias inflamatórias neuronais</w:t>
      </w:r>
    </w:p>
    <w:p w14:paraId="00D19389" w14:textId="0EC9B333" w:rsidR="003979C7" w:rsidRDefault="003979C7" w:rsidP="003979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Multissistemicidade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A endometriose impacta também trato gastrointestinal, urinário e sistema nervoso. Há associação com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doenças como fibromialgia,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>síndrome da bexiga dolorosa, síndrome do intestino irritável e depressão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— sustentando o conceito de que não é apenas uma doença ginecológica.</w:t>
      </w:r>
    </w:p>
    <w:p w14:paraId="6AEC51D0" w14:textId="39BF1657" w:rsidR="00833524" w:rsidRPr="003979C7" w:rsidRDefault="00833524" w:rsidP="0083352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833524">
        <w:rPr>
          <w:rFonts w:ascii="Times New Roman" w:eastAsia="Times New Roman" w:hAnsi="Times New Roman" w:cs="Times New Roman"/>
          <w:lang w:eastAsia="pt-BR"/>
        </w:rPr>
        <w:drawing>
          <wp:inline distT="0" distB="0" distL="0" distR="0" wp14:anchorId="72C8CFC2" wp14:editId="008F8378">
            <wp:extent cx="5400040" cy="4023995"/>
            <wp:effectExtent l="0" t="0" r="0" b="190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63FCA" w14:textId="77777777" w:rsidR="003979C7" w:rsidRPr="003979C7" w:rsidRDefault="003979C7" w:rsidP="003979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3. Mecanismos Moleculares Envolvidos</w:t>
      </w:r>
    </w:p>
    <w:p w14:paraId="3DBA2792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O artigo apresenta avanços recentes na compreensão molecular da endometriose, abordando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caminhos genéticos, inflamatórios, imunológicos, metabólicos 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epigenéticos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:</w:t>
      </w:r>
    </w:p>
    <w:p w14:paraId="298CEF05" w14:textId="77777777" w:rsidR="003979C7" w:rsidRPr="003979C7" w:rsidRDefault="003979C7" w:rsidP="003979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pt-BR"/>
        </w:rPr>
      </w:pPr>
      <w:proofErr w:type="gramStart"/>
      <w:r w:rsidRPr="003979C7">
        <w:rPr>
          <w:rFonts w:ascii="Apple Color Emoji" w:eastAsia="Times New Roman" w:hAnsi="Apple Color Emoji" w:cs="Apple Color Emoji"/>
          <w:b/>
          <w:bCs/>
          <w:lang w:eastAsia="pt-BR"/>
        </w:rPr>
        <w:t>🔬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Genética</w:t>
      </w:r>
      <w:proofErr w:type="gram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e risco</w:t>
      </w:r>
    </w:p>
    <w:p w14:paraId="1EBA6AA2" w14:textId="77777777" w:rsidR="003979C7" w:rsidRPr="003979C7" w:rsidRDefault="003979C7" w:rsidP="003979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Estudos de associação genômica (GWAS) identificaram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mais de 40 variantes genéticas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associadas à endometriose.</w:t>
      </w:r>
    </w:p>
    <w:p w14:paraId="70999E31" w14:textId="77777777" w:rsidR="003979C7" w:rsidRPr="003979C7" w:rsidRDefault="003979C7" w:rsidP="003979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Essas variantes se relacionam com genes envolvidos em:</w:t>
      </w:r>
    </w:p>
    <w:p w14:paraId="5056B9BB" w14:textId="77777777" w:rsidR="003979C7" w:rsidRPr="003979C7" w:rsidRDefault="003979C7" w:rsidP="003979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Regulação hormonal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(FSH, estrogênio)</w:t>
      </w:r>
    </w:p>
    <w:p w14:paraId="2A20258F" w14:textId="77777777" w:rsidR="003979C7" w:rsidRPr="003979C7" w:rsidRDefault="003979C7" w:rsidP="003979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Inflamação e imunidade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(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ex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: IL-1, TNF-α, macrófagos)</w:t>
      </w:r>
    </w:p>
    <w:p w14:paraId="2E4DA4A2" w14:textId="77777777" w:rsidR="003979C7" w:rsidRPr="003979C7" w:rsidRDefault="003979C7" w:rsidP="003979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Vias de sinalização como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Wnt</w:t>
      </w:r>
      <w:proofErr w:type="spellEnd"/>
    </w:p>
    <w:p w14:paraId="73B1B1D7" w14:textId="77777777" w:rsidR="003979C7" w:rsidRPr="003979C7" w:rsidRDefault="003979C7" w:rsidP="003979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Coagulação e remodelamento tecidual</w:t>
      </w:r>
    </w:p>
    <w:p w14:paraId="030080E4" w14:textId="77777777" w:rsidR="003979C7" w:rsidRPr="003979C7" w:rsidRDefault="003979C7" w:rsidP="003979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Algumas dessas alterações também aparecem em doenças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comórbidas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como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asma, depressão, enxaqueca, doenças inflamatórias intestinais 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osteoartrite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</w:t>
      </w:r>
    </w:p>
    <w:p w14:paraId="455D6100" w14:textId="77777777" w:rsidR="003979C7" w:rsidRPr="003979C7" w:rsidRDefault="003979C7" w:rsidP="003979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pt-BR"/>
        </w:rPr>
      </w:pPr>
      <w:r w:rsidRPr="003979C7">
        <w:rPr>
          <w:rFonts w:ascii="Apple Color Emoji" w:eastAsia="Times New Roman" w:hAnsi="Apple Color Emoji" w:cs="Apple Color Emoji"/>
          <w:b/>
          <w:bCs/>
          <w:lang w:eastAsia="pt-BR"/>
        </w:rPr>
        <w:t>🧬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Alterações no endométrio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eutópico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(dentro do útero)</w:t>
      </w:r>
    </w:p>
    <w:p w14:paraId="2A5F235B" w14:textId="77777777" w:rsidR="003979C7" w:rsidRPr="003979C7" w:rsidRDefault="003979C7" w:rsidP="003979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Expressão gênica alterada</w:t>
      </w:r>
    </w:p>
    <w:p w14:paraId="1EDC292F" w14:textId="77777777" w:rsidR="003979C7" w:rsidRPr="003979C7" w:rsidRDefault="003979C7" w:rsidP="003979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Alteração na resposta aos esteroides sexuais</w:t>
      </w:r>
    </w:p>
    <w:p w14:paraId="7F24C2B7" w14:textId="77777777" w:rsidR="003979C7" w:rsidRPr="003979C7" w:rsidRDefault="003979C7" w:rsidP="003979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lastRenderedPageBreak/>
        <w:t>Disfunção na sinalização da progesterona</w:t>
      </w:r>
    </w:p>
    <w:p w14:paraId="404EF418" w14:textId="77777777" w:rsidR="003979C7" w:rsidRPr="003979C7" w:rsidRDefault="003979C7" w:rsidP="003979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Epigenética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alterações na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metilação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de genes reguladores do tecido</w:t>
      </w:r>
    </w:p>
    <w:p w14:paraId="2FF7223F" w14:textId="77777777" w:rsidR="003979C7" w:rsidRPr="003979C7" w:rsidRDefault="003979C7" w:rsidP="003979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Alteração na expressão de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microRNAs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e liberação de células-tronco</w:t>
      </w:r>
    </w:p>
    <w:p w14:paraId="36E9A972" w14:textId="77777777" w:rsidR="003979C7" w:rsidRPr="003979C7" w:rsidRDefault="003979C7" w:rsidP="003979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pt-BR"/>
        </w:rPr>
      </w:pPr>
      <w:proofErr w:type="gramStart"/>
      <w:r w:rsidRPr="003979C7">
        <w:rPr>
          <w:rFonts w:ascii="Apple Color Emoji" w:eastAsia="Times New Roman" w:hAnsi="Apple Color Emoji" w:cs="Apple Color Emoji"/>
          <w:b/>
          <w:bCs/>
          <w:lang w:eastAsia="pt-BR"/>
        </w:rPr>
        <w:t>🧪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Ambiente</w:t>
      </w:r>
      <w:proofErr w:type="gram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lesional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e fluido peritoneal</w:t>
      </w:r>
    </w:p>
    <w:p w14:paraId="3D165D18" w14:textId="77777777" w:rsidR="003979C7" w:rsidRPr="003979C7" w:rsidRDefault="003979C7" w:rsidP="003979C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As lesões apresentam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ambiente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esteroidal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local alterado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, com enzimas como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AKR1C3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e 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mPGES1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mais ativas, aumentando a produção de prostaglandinas inflamatórias.</w:t>
      </w:r>
    </w:p>
    <w:p w14:paraId="1DFE4407" w14:textId="77777777" w:rsidR="003979C7" w:rsidRPr="003979C7" w:rsidRDefault="003979C7" w:rsidP="003979C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Expressão aumentada de canais iônicos (TRPV1, TRPA1), associados à dor.</w:t>
      </w:r>
    </w:p>
    <w:p w14:paraId="3E848002" w14:textId="77777777" w:rsidR="003979C7" w:rsidRPr="003979C7" w:rsidRDefault="003979C7" w:rsidP="003979C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Alterações metabólicas: acúmulo de lactato (efeito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Warburg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), ativação de vias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glicolíticas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</w:t>
      </w:r>
    </w:p>
    <w:p w14:paraId="7C2FA0CB" w14:textId="77777777" w:rsidR="003979C7" w:rsidRPr="003979C7" w:rsidRDefault="003979C7" w:rsidP="003979C7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Macrófagos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são destacados como protagonistas tanto na dor quanto na manutenção da inflamação.</w:t>
      </w:r>
    </w:p>
    <w:p w14:paraId="4A38844E" w14:textId="77777777" w:rsidR="003979C7" w:rsidRPr="003979C7" w:rsidRDefault="003979C7" w:rsidP="003979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pt-BR"/>
        </w:rPr>
      </w:pPr>
      <w:r w:rsidRPr="003979C7">
        <w:rPr>
          <w:rFonts w:ascii="Apple Color Emoji" w:eastAsia="Times New Roman" w:hAnsi="Apple Color Emoji" w:cs="Apple Color Emoji"/>
          <w:b/>
          <w:bCs/>
          <w:lang w:eastAsia="pt-BR"/>
        </w:rPr>
        <w:t>💊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Implicações clínicas</w:t>
      </w:r>
    </w:p>
    <w:p w14:paraId="75388836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Essas descobertas estão informando o desenvolvimento de novas terapias direcionadas, como:</w:t>
      </w:r>
    </w:p>
    <w:p w14:paraId="14CE84B1" w14:textId="27A5BE61" w:rsidR="003979C7" w:rsidRPr="003979C7" w:rsidRDefault="003979C7" w:rsidP="003979C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Inibidores de enzimas inflamatórias </w:t>
      </w:r>
    </w:p>
    <w:p w14:paraId="51C5448E" w14:textId="4B9B80B7" w:rsidR="003979C7" w:rsidRPr="003979C7" w:rsidRDefault="003979C7" w:rsidP="003979C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Terapias não hormonais baseadas em metabolismo </w:t>
      </w:r>
    </w:p>
    <w:p w14:paraId="62B6DD80" w14:textId="52F2E72D" w:rsidR="003979C7" w:rsidRPr="003979C7" w:rsidRDefault="003979C7" w:rsidP="003979C7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Anticorpos monoclonais contra IL-8 </w:t>
      </w:r>
    </w:p>
    <w:p w14:paraId="426DF4D9" w14:textId="77777777" w:rsid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4F5F9280" w14:textId="1CB35608" w:rsidR="003979C7" w:rsidRDefault="003979C7" w:rsidP="003979C7">
      <w:pPr>
        <w:pStyle w:val="PargrafodaLista"/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Análise Comentário Clínico da Dra. Graciela</w:t>
      </w:r>
      <w:r w:rsidRPr="003979C7">
        <w:rPr>
          <w:rFonts w:ascii="Times New Roman" w:eastAsia="Times New Roman" w:hAnsi="Times New Roman" w:cs="Times New Roman"/>
          <w:lang w:eastAsia="pt-BR"/>
        </w:rPr>
        <w:br/>
        <w:t xml:space="preserve">Este artigo é um verdadeiro compêndio atualizado sobre a endometriose, reforçando a necessidade de uma abordagem multidisciplinar centrada na paciente. A integração entre terapias hormonais, estratégias de medicina personalizada e intervenções não farmacológicas deve ser considerada na prática clínica. A evidência genética abre portas para o reposicionamento de fármacos e maior entendimento da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interrelação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com outras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comorbidades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</w:t>
      </w:r>
    </w:p>
    <w:p w14:paraId="26F836AB" w14:textId="068FAEC6" w:rsidR="00833524" w:rsidRPr="00833524" w:rsidRDefault="00833524" w:rsidP="0083352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833524">
        <w:rPr>
          <w:rFonts w:ascii="Times New Roman" w:eastAsia="Times New Roman" w:hAnsi="Times New Roman" w:cs="Times New Roman"/>
          <w:lang w:eastAsia="pt-BR"/>
        </w:rPr>
        <w:lastRenderedPageBreak/>
        <w:drawing>
          <wp:inline distT="0" distB="0" distL="0" distR="0" wp14:anchorId="513095C8" wp14:editId="373F5573">
            <wp:extent cx="5400040" cy="358965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408D3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Reflexão para o leitor:</w:t>
      </w:r>
      <w:r w:rsidRPr="003979C7">
        <w:rPr>
          <w:rFonts w:ascii="Times New Roman" w:eastAsia="Times New Roman" w:hAnsi="Times New Roman" w:cs="Times New Roman"/>
          <w:lang w:eastAsia="pt-BR"/>
        </w:rPr>
        <w:br/>
        <w:t xml:space="preserve">Como você, clínico, tem abordado a dor pélvica crônica em suas pacientes com endometriose? Tem considerado os aspectos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neuroinflamatórios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, a presença de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comorbidades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ou o impacto psicossocial da doença em suas decisões terapêuticas?</w:t>
      </w:r>
    </w:p>
    <w:p w14:paraId="045355B5" w14:textId="570ACDC8" w:rsidR="003979C7" w:rsidRPr="003979C7" w:rsidRDefault="003979C7" w:rsidP="003979C7">
      <w:pPr>
        <w:pStyle w:val="PargrafodaLista"/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Aplicações Práticas</w:t>
      </w:r>
    </w:p>
    <w:p w14:paraId="0C0BA612" w14:textId="77777777" w:rsidR="003979C7" w:rsidRPr="003979C7" w:rsidRDefault="003979C7" w:rsidP="003979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A dor pélvica crônica deve ser abordada como dor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nociplástica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, além da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nociceptiva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.</w:t>
      </w:r>
    </w:p>
    <w:p w14:paraId="35EEC58D" w14:textId="77777777" w:rsidR="003979C7" w:rsidRPr="003979C7" w:rsidRDefault="003979C7" w:rsidP="003979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 xml:space="preserve">Estratégias como fisioterapia,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mindfulness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, dietas anti-inflamatórias (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ex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: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low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-FODMAP),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cannabis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medicinal e VR (realidade virtual) mostram-se promissoras.</w:t>
      </w:r>
    </w:p>
    <w:p w14:paraId="241D70DD" w14:textId="77777777" w:rsidR="003979C7" w:rsidRPr="003979C7" w:rsidRDefault="003979C7" w:rsidP="003979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Biomarcadores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salivar e fecal ainda estão em investigação, mas representam futuro diagnóstico não invasivo.</w:t>
      </w:r>
    </w:p>
    <w:p w14:paraId="73872F1F" w14:textId="77777777" w:rsidR="003979C7" w:rsidRPr="003979C7" w:rsidRDefault="003979C7" w:rsidP="003979C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Intervenções Integrativas Complementares</w:t>
      </w:r>
    </w:p>
    <w:p w14:paraId="2427BE4F" w14:textId="77777777" w:rsidR="003979C7" w:rsidRPr="003979C7" w:rsidRDefault="003979C7" w:rsidP="003979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Dieta anti-inflamatória e suplementação (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quercetina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>, magnésio)</w:t>
      </w:r>
    </w:p>
    <w:p w14:paraId="23BCB4E4" w14:textId="77777777" w:rsidR="003979C7" w:rsidRPr="003979C7" w:rsidRDefault="003979C7" w:rsidP="003979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lang w:eastAsia="pt-BR"/>
        </w:rPr>
        <w:t>Acupuntura, yoga e terapia cognitivo-comportamental demonstram impacto positivo em dor e qualidade de vida</w:t>
      </w:r>
    </w:p>
    <w:p w14:paraId="197460A7" w14:textId="77777777" w:rsidR="003979C7" w:rsidRPr="003979C7" w:rsidRDefault="003979C7" w:rsidP="003979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Apps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e realidade virtual como ferramentas emergentes de autogerenciamento</w:t>
      </w:r>
    </w:p>
    <w:p w14:paraId="20ACA7A2" w14:textId="752086BA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t>📎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t-BR"/>
        </w:rPr>
        <w:t>7</w:t>
      </w:r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. Referência Completa:</w:t>
      </w:r>
      <w:r w:rsidRPr="003979C7">
        <w:rPr>
          <w:rFonts w:ascii="Times New Roman" w:eastAsia="Times New Roman" w:hAnsi="Times New Roman" w:cs="Times New Roman"/>
          <w:lang w:eastAsia="pt-BR"/>
        </w:rPr>
        <w:br/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Saunders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PTK,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Horne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AW. </w:t>
      </w:r>
      <w:r w:rsidRPr="003979C7">
        <w:rPr>
          <w:rFonts w:ascii="Times New Roman" w:eastAsia="Times New Roman" w:hAnsi="Times New Roman" w:cs="Times New Roman"/>
          <w:i/>
          <w:iCs/>
          <w:lang w:val="en-US" w:eastAsia="pt-BR"/>
        </w:rPr>
        <w:t>Endometriosis: new insights and opportunities for relief of symptoms</w:t>
      </w:r>
      <w:r w:rsidRPr="003979C7">
        <w:rPr>
          <w:rFonts w:ascii="Times New Roman" w:eastAsia="Times New Roman" w:hAnsi="Times New Roman" w:cs="Times New Roman"/>
          <w:lang w:val="en-US" w:eastAsia="pt-BR"/>
        </w:rPr>
        <w:t xml:space="preserve">.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Biology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of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 w:rsidRPr="003979C7">
        <w:rPr>
          <w:rFonts w:ascii="Times New Roman" w:eastAsia="Times New Roman" w:hAnsi="Times New Roman" w:cs="Times New Roman"/>
          <w:lang w:eastAsia="pt-BR"/>
        </w:rPr>
        <w:t>Reproduction</w:t>
      </w:r>
      <w:proofErr w:type="spellEnd"/>
      <w:r w:rsidRPr="003979C7">
        <w:rPr>
          <w:rFonts w:ascii="Times New Roman" w:eastAsia="Times New Roman" w:hAnsi="Times New Roman" w:cs="Times New Roman"/>
          <w:lang w:eastAsia="pt-BR"/>
        </w:rPr>
        <w:t xml:space="preserve">, 2025;113(5):1029–1043. </w:t>
      </w:r>
      <w:hyperlink r:id="rId10" w:tgtFrame="_new" w:history="1">
        <w:r w:rsidRPr="003979C7">
          <w:rPr>
            <w:rFonts w:ascii="Times New Roman" w:eastAsia="Times New Roman" w:hAnsi="Times New Roman" w:cs="Times New Roman"/>
            <w:color w:val="0000FF"/>
            <w:u w:val="single"/>
            <w:lang w:eastAsia="pt-BR"/>
          </w:rPr>
          <w:t>https://doi.org/10.1093/biol</w:t>
        </w:r>
        <w:r w:rsidRPr="003979C7">
          <w:rPr>
            <w:rFonts w:ascii="Times New Roman" w:eastAsia="Times New Roman" w:hAnsi="Times New Roman" w:cs="Times New Roman"/>
            <w:color w:val="0000FF"/>
            <w:u w:val="single"/>
            <w:lang w:eastAsia="pt-BR"/>
          </w:rPr>
          <w:t>r</w:t>
        </w:r>
        <w:r w:rsidRPr="003979C7">
          <w:rPr>
            <w:rFonts w:ascii="Times New Roman" w:eastAsia="Times New Roman" w:hAnsi="Times New Roman" w:cs="Times New Roman"/>
            <w:color w:val="0000FF"/>
            <w:u w:val="single"/>
            <w:lang w:eastAsia="pt-BR"/>
          </w:rPr>
          <w:t>e/ioaf164</w:t>
        </w:r>
      </w:hyperlink>
    </w:p>
    <w:p w14:paraId="1AA7B7D6" w14:textId="77777777" w:rsidR="003979C7" w:rsidRPr="003979C7" w:rsidRDefault="00DD6773" w:rsidP="003979C7">
      <w:pPr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Times New Roman" w:eastAsia="Times New Roman" w:hAnsi="Times New Roman" w:cs="Times New Roman"/>
          <w:noProof/>
          <w:lang w:eastAsia="pt-BR"/>
        </w:rPr>
        <w:pict w14:anchorId="0F42BB10">
          <v:rect id="_x0000_i1025" alt="" style="width:425.2pt;height:.05pt;mso-width-percent:0;mso-height-percent:0;mso-width-percent:0;mso-height-percent:0" o:hralign="center" o:hrstd="t" o:hr="t" fillcolor="#a0a0a0" stroked="f"/>
        </w:pict>
      </w:r>
    </w:p>
    <w:p w14:paraId="2F44593F" w14:textId="77777777" w:rsidR="003979C7" w:rsidRPr="003979C7" w:rsidRDefault="003979C7" w:rsidP="003979C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3979C7">
        <w:rPr>
          <w:rFonts w:ascii="Apple Color Emoji" w:eastAsia="Times New Roman" w:hAnsi="Apple Color Emoji" w:cs="Apple Color Emoji"/>
          <w:lang w:eastAsia="pt-BR"/>
        </w:rPr>
        <w:lastRenderedPageBreak/>
        <w:t>✅</w:t>
      </w:r>
      <w:r w:rsidRPr="003979C7">
        <w:rPr>
          <w:rFonts w:ascii="Times New Roman" w:eastAsia="Times New Roman" w:hAnsi="Times New Roman" w:cs="Times New Roman"/>
          <w:lang w:eastAsia="pt-BR"/>
        </w:rPr>
        <w:t xml:space="preserve"> Este material faz parte do movimento </w:t>
      </w:r>
      <w:proofErr w:type="spellStart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>ENDOctors</w:t>
      </w:r>
      <w:proofErr w:type="spellEnd"/>
      <w:r w:rsidRPr="003979C7">
        <w:rPr>
          <w:rFonts w:ascii="Times New Roman" w:eastAsia="Times New Roman" w:hAnsi="Times New Roman" w:cs="Times New Roman"/>
          <w:b/>
          <w:bCs/>
          <w:lang w:eastAsia="pt-BR"/>
        </w:rPr>
        <w:t xml:space="preserve"> – The Meetings</w:t>
      </w:r>
      <w:r w:rsidRPr="003979C7">
        <w:rPr>
          <w:rFonts w:ascii="Times New Roman" w:eastAsia="Times New Roman" w:hAnsi="Times New Roman" w:cs="Times New Roman"/>
          <w:lang w:eastAsia="pt-BR"/>
        </w:rPr>
        <w:t>, e a troca entre colegas é parte essencial da nossa evolução como médicos.</w:t>
      </w:r>
      <w:r w:rsidRPr="003979C7">
        <w:rPr>
          <w:rFonts w:ascii="Times New Roman" w:eastAsia="Times New Roman" w:hAnsi="Times New Roman" w:cs="Times New Roman"/>
          <w:lang w:eastAsia="pt-BR"/>
        </w:rPr>
        <w:br/>
        <w:t>Se quiser compartilhar sua experiência, uma dúvida ou ponto de vista sobre este tema, envie sua mensagem no grupo — será muito bem-vinda!</w:t>
      </w:r>
    </w:p>
    <w:p w14:paraId="1A5A77D7" w14:textId="77777777" w:rsidR="003979C7" w:rsidRDefault="003979C7"/>
    <w:sectPr w:rsidR="003979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E4B56"/>
    <w:multiLevelType w:val="multilevel"/>
    <w:tmpl w:val="D36C7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61F64"/>
    <w:multiLevelType w:val="multilevel"/>
    <w:tmpl w:val="D91E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42225"/>
    <w:multiLevelType w:val="multilevel"/>
    <w:tmpl w:val="189C8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281FDC"/>
    <w:multiLevelType w:val="multilevel"/>
    <w:tmpl w:val="EAAE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6F6723"/>
    <w:multiLevelType w:val="multilevel"/>
    <w:tmpl w:val="E56CD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A3297C"/>
    <w:multiLevelType w:val="multilevel"/>
    <w:tmpl w:val="839448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204706"/>
    <w:multiLevelType w:val="multilevel"/>
    <w:tmpl w:val="F27C0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4C798F"/>
    <w:multiLevelType w:val="multilevel"/>
    <w:tmpl w:val="831C4C9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C526F3"/>
    <w:multiLevelType w:val="multilevel"/>
    <w:tmpl w:val="C2224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FF77A6"/>
    <w:multiLevelType w:val="multilevel"/>
    <w:tmpl w:val="ED624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9C7"/>
    <w:rsid w:val="003979C7"/>
    <w:rsid w:val="00833524"/>
    <w:rsid w:val="00DD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30265"/>
  <w15:chartTrackingRefBased/>
  <w15:docId w15:val="{B59ACA39-8E2E-664F-8212-A6441EA39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979C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3979C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79C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styleId="Forte">
    <w:name w:val="Strong"/>
    <w:basedOn w:val="Fontepargpadro"/>
    <w:uiPriority w:val="22"/>
    <w:qFormat/>
    <w:rsid w:val="003979C7"/>
    <w:rPr>
      <w:b/>
      <w:bCs/>
    </w:rPr>
  </w:style>
  <w:style w:type="character" w:styleId="nfase">
    <w:name w:val="Emphasis"/>
    <w:basedOn w:val="Fontepargpadro"/>
    <w:uiPriority w:val="20"/>
    <w:qFormat/>
    <w:rsid w:val="003979C7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3979C7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3979C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3979C7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397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7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93/biolre/ioaf164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s://doi.org/10.1093/biolre/ioaf16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995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Graciela Morgado</dc:creator>
  <cp:keywords/>
  <dc:description/>
  <cp:lastModifiedBy>Graciela Morgado</cp:lastModifiedBy>
  <cp:revision>1</cp:revision>
  <dcterms:created xsi:type="dcterms:W3CDTF">2026-01-17T12:38:00Z</dcterms:created>
  <dcterms:modified xsi:type="dcterms:W3CDTF">2026-01-17T12:47:00Z</dcterms:modified>
</cp:coreProperties>
</file>